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A4" w:rsidRPr="00D8627C" w:rsidRDefault="00F64A62">
      <w:pPr>
        <w:spacing w:after="108" w:line="259" w:lineRule="auto"/>
        <w:ind w:left="0" w:right="19" w:firstLine="0"/>
        <w:jc w:val="right"/>
        <w:rPr>
          <w:sz w:val="16"/>
          <w:szCs w:val="16"/>
          <w:lang w:val="en-US"/>
        </w:rPr>
      </w:pPr>
      <w:r w:rsidRPr="00D8627C">
        <w:rPr>
          <w:b/>
          <w:sz w:val="16"/>
          <w:szCs w:val="16"/>
          <w:lang w:val="en-US"/>
        </w:rPr>
        <w:t>NUTRICARE INT</w:t>
      </w:r>
      <w:r w:rsidR="00D8627C" w:rsidRPr="00D8627C">
        <w:rPr>
          <w:b/>
          <w:sz w:val="16"/>
          <w:szCs w:val="16"/>
          <w:lang w:val="en-US"/>
        </w:rPr>
        <w:t>ERNATIONAL, INC</w:t>
      </w:r>
      <w:r w:rsidRPr="00D8627C">
        <w:rPr>
          <w:b/>
          <w:sz w:val="16"/>
          <w:szCs w:val="16"/>
          <w:lang w:val="en-US"/>
        </w:rPr>
        <w:t xml:space="preserve">. </w:t>
      </w:r>
    </w:p>
    <w:p w:rsidR="003955A4" w:rsidRPr="00D8627C" w:rsidRDefault="00F64A62">
      <w:pPr>
        <w:spacing w:after="108" w:line="259" w:lineRule="auto"/>
        <w:ind w:left="19" w:firstLine="0"/>
        <w:jc w:val="center"/>
        <w:rPr>
          <w:sz w:val="16"/>
          <w:szCs w:val="16"/>
          <w:lang w:val="en-US"/>
        </w:rPr>
      </w:pPr>
      <w:r w:rsidRPr="00D8627C">
        <w:rPr>
          <w:b/>
          <w:sz w:val="16"/>
          <w:szCs w:val="16"/>
        </w:rPr>
        <w:t>ГОРТЕНЗИЯ</w:t>
      </w:r>
      <w:r w:rsidRPr="00D8627C">
        <w:rPr>
          <w:b/>
          <w:sz w:val="16"/>
          <w:szCs w:val="16"/>
          <w:lang w:val="en-US"/>
        </w:rPr>
        <w:t xml:space="preserve"> </w:t>
      </w:r>
    </w:p>
    <w:p w:rsidR="003955A4" w:rsidRPr="00D8627C" w:rsidRDefault="00F64A62">
      <w:pPr>
        <w:spacing w:after="106" w:line="259" w:lineRule="auto"/>
        <w:ind w:left="20" w:firstLine="0"/>
        <w:jc w:val="center"/>
        <w:rPr>
          <w:b/>
          <w:sz w:val="16"/>
          <w:szCs w:val="16"/>
          <w:lang w:val="en-US"/>
        </w:rPr>
      </w:pPr>
      <w:r w:rsidRPr="00D8627C">
        <w:rPr>
          <w:b/>
          <w:sz w:val="16"/>
          <w:szCs w:val="16"/>
          <w:lang w:val="en-US"/>
        </w:rPr>
        <w:t xml:space="preserve">Hydrangea Root </w:t>
      </w:r>
    </w:p>
    <w:p w:rsidR="003955A4" w:rsidRPr="00D8627C" w:rsidRDefault="00D8627C">
      <w:pPr>
        <w:spacing w:after="115"/>
        <w:ind w:left="14" w:right="6"/>
        <w:rPr>
          <w:sz w:val="16"/>
          <w:szCs w:val="16"/>
        </w:rPr>
      </w:pPr>
      <w:r w:rsidRPr="00D8627C">
        <w:rPr>
          <w:sz w:val="16"/>
          <w:szCs w:val="16"/>
        </w:rPr>
        <w:tab/>
      </w:r>
      <w:r w:rsidRPr="00D8627C">
        <w:rPr>
          <w:sz w:val="16"/>
          <w:szCs w:val="16"/>
        </w:rPr>
        <w:tab/>
      </w:r>
      <w:r w:rsidR="00F64A62" w:rsidRPr="00D8627C">
        <w:rPr>
          <w:sz w:val="16"/>
          <w:szCs w:val="16"/>
        </w:rPr>
        <w:t xml:space="preserve">Корни гортензии оказывают мягкое мочегонное, антисептическое и ранозаживляющее действие, используются при лечении воспалительных процессов мочевыводящих путей и мочевого пузыря, при заболеваниях почек, а также для снятия предменструального синдрома и для лечения диспепсии. Гортензия оказывает нормализующий эффект на обмен веществ, препятствуя образованию камней в почках (оксалатов, </w:t>
      </w:r>
      <w:proofErr w:type="spellStart"/>
      <w:r w:rsidR="00F64A62" w:rsidRPr="00D8627C">
        <w:rPr>
          <w:sz w:val="16"/>
          <w:szCs w:val="16"/>
        </w:rPr>
        <w:t>уратов</w:t>
      </w:r>
      <w:proofErr w:type="spellEnd"/>
      <w:r w:rsidR="00F64A62" w:rsidRPr="00D8627C">
        <w:rPr>
          <w:sz w:val="16"/>
          <w:szCs w:val="16"/>
        </w:rPr>
        <w:t>, фосфатов), а при наличии камней способствует их растворению и выведению из организма. Биологически активные компоненты растения нормализуют трофические процессы в</w:t>
      </w:r>
      <w:r w:rsidR="00F64A62" w:rsidRPr="00D8627C">
        <w:rPr>
          <w:b/>
          <w:sz w:val="16"/>
          <w:szCs w:val="16"/>
        </w:rPr>
        <w:t xml:space="preserve"> </w:t>
      </w:r>
      <w:r w:rsidR="00F64A62" w:rsidRPr="00D8627C">
        <w:rPr>
          <w:sz w:val="16"/>
          <w:szCs w:val="16"/>
        </w:rPr>
        <w:t xml:space="preserve">хрящевой и соединительной ткани. Гортензия обладает противоаллергическими свойствами. </w:t>
      </w:r>
    </w:p>
    <w:p w:rsidR="003955A4" w:rsidRPr="00D8627C" w:rsidRDefault="00F64A62">
      <w:pPr>
        <w:spacing w:after="11" w:line="259" w:lineRule="auto"/>
        <w:ind w:left="14"/>
        <w:jc w:val="left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Действие на организм: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нормализует водно-солевой обмен;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способствует разрушению камней в почках и желчном пузыре;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способствует выведению солей из организма;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обладает мочегонным, </w:t>
      </w:r>
      <w:proofErr w:type="spellStart"/>
      <w:r w:rsidRPr="00D8627C">
        <w:rPr>
          <w:sz w:val="16"/>
          <w:szCs w:val="16"/>
        </w:rPr>
        <w:t>уросептическим</w:t>
      </w:r>
      <w:proofErr w:type="spellEnd"/>
      <w:r w:rsidRPr="00D8627C">
        <w:rPr>
          <w:sz w:val="16"/>
          <w:szCs w:val="16"/>
        </w:rPr>
        <w:t xml:space="preserve"> эффектом;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растворяет сгустки в простатических ходах; 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стимулирует кору надпочечников (выработку кортизола); </w:t>
      </w:r>
    </w:p>
    <w:p w:rsidR="00D8627C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>оказывает противовоспалительное,</w:t>
      </w:r>
      <w:r w:rsidR="00D8627C" w:rsidRPr="00D8627C">
        <w:rPr>
          <w:sz w:val="16"/>
          <w:szCs w:val="16"/>
        </w:rPr>
        <w:t xml:space="preserve"> противоаллергическое действие;</w:t>
      </w:r>
    </w:p>
    <w:p w:rsidR="003955A4" w:rsidRPr="00D8627C" w:rsidRDefault="00F64A62" w:rsidP="00D8627C">
      <w:pPr>
        <w:numPr>
          <w:ilvl w:val="0"/>
          <w:numId w:val="1"/>
        </w:numPr>
        <w:spacing w:after="0" w:line="250" w:lineRule="auto"/>
        <w:ind w:left="210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смягчает симптоматику предменструального синдрома. </w:t>
      </w:r>
    </w:p>
    <w:p w:rsidR="00D8627C" w:rsidRPr="00D8627C" w:rsidRDefault="00D8627C" w:rsidP="00D8627C">
      <w:pPr>
        <w:spacing w:after="0" w:line="250" w:lineRule="auto"/>
        <w:ind w:left="210" w:right="6" w:firstLine="0"/>
        <w:rPr>
          <w:sz w:val="16"/>
          <w:szCs w:val="16"/>
        </w:rPr>
      </w:pPr>
    </w:p>
    <w:p w:rsidR="003955A4" w:rsidRDefault="00F64A62">
      <w:pPr>
        <w:spacing w:after="133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Состав: </w:t>
      </w:r>
      <w:r w:rsidR="00D8627C" w:rsidRPr="00D8627C">
        <w:rPr>
          <w:sz w:val="16"/>
          <w:szCs w:val="16"/>
        </w:rPr>
        <w:t>экстракт корня гортензии древовидной</w:t>
      </w:r>
      <w:r w:rsidRPr="00D8627C">
        <w:rPr>
          <w:sz w:val="16"/>
          <w:szCs w:val="16"/>
        </w:rPr>
        <w:t xml:space="preserve"> – 400 мг. Вспомогательные ингредиенты: </w:t>
      </w:r>
      <w:r w:rsidR="00D8627C" w:rsidRPr="00D8627C">
        <w:rPr>
          <w:sz w:val="16"/>
          <w:szCs w:val="16"/>
        </w:rPr>
        <w:t xml:space="preserve">желатин, агент </w:t>
      </w:r>
      <w:proofErr w:type="spellStart"/>
      <w:r w:rsidR="00D8627C" w:rsidRPr="00D8627C">
        <w:rPr>
          <w:sz w:val="16"/>
          <w:szCs w:val="16"/>
        </w:rPr>
        <w:t>антислеживающий</w:t>
      </w:r>
      <w:proofErr w:type="spellEnd"/>
      <w:r w:rsidR="00D8627C" w:rsidRPr="00D8627C">
        <w:rPr>
          <w:sz w:val="16"/>
          <w:szCs w:val="16"/>
        </w:rPr>
        <w:t xml:space="preserve"> (</w:t>
      </w:r>
      <w:proofErr w:type="spellStart"/>
      <w:r w:rsidR="00D8627C" w:rsidRPr="00D8627C">
        <w:rPr>
          <w:sz w:val="16"/>
          <w:szCs w:val="16"/>
        </w:rPr>
        <w:t>стеарат</w:t>
      </w:r>
      <w:proofErr w:type="spellEnd"/>
      <w:r w:rsidR="00D8627C" w:rsidRPr="00D8627C">
        <w:rPr>
          <w:sz w:val="16"/>
          <w:szCs w:val="16"/>
        </w:rPr>
        <w:t xml:space="preserve"> магния Е470 (растительного происхождения), кремния диоксид Е551).</w:t>
      </w:r>
    </w:p>
    <w:p w:rsidR="00D8627C" w:rsidRDefault="00D8627C">
      <w:pPr>
        <w:spacing w:after="133"/>
        <w:ind w:left="14" w:right="6"/>
        <w:rPr>
          <w:sz w:val="16"/>
          <w:szCs w:val="16"/>
        </w:rPr>
      </w:pPr>
      <w:r>
        <w:rPr>
          <w:b/>
          <w:sz w:val="16"/>
          <w:szCs w:val="16"/>
        </w:rPr>
        <w:t>Свойства ингредиентов:</w:t>
      </w:r>
    </w:p>
    <w:p w:rsidR="00D8627C" w:rsidRPr="00D8627C" w:rsidRDefault="00D8627C" w:rsidP="00D8627C">
      <w:pPr>
        <w:pStyle w:val="a3"/>
        <w:numPr>
          <w:ilvl w:val="0"/>
          <w:numId w:val="2"/>
        </w:numPr>
        <w:spacing w:after="133"/>
        <w:ind w:left="284" w:right="6" w:hanging="284"/>
        <w:rPr>
          <w:i/>
          <w:sz w:val="16"/>
          <w:szCs w:val="16"/>
        </w:rPr>
      </w:pPr>
      <w:r w:rsidRPr="00D8627C">
        <w:rPr>
          <w:i/>
          <w:sz w:val="16"/>
          <w:szCs w:val="16"/>
        </w:rPr>
        <w:t>Э</w:t>
      </w:r>
      <w:r w:rsidRPr="00D8627C">
        <w:rPr>
          <w:i/>
          <w:sz w:val="16"/>
          <w:szCs w:val="16"/>
        </w:rPr>
        <w:t>кстракт корня гортензии древовидной</w:t>
      </w:r>
      <w:r>
        <w:rPr>
          <w:i/>
          <w:sz w:val="16"/>
          <w:szCs w:val="16"/>
        </w:rPr>
        <w:t xml:space="preserve"> - </w:t>
      </w:r>
      <w:r w:rsidRPr="00D8627C">
        <w:rPr>
          <w:color w:val="010101"/>
          <w:sz w:val="16"/>
          <w:szCs w:val="16"/>
          <w:shd w:val="clear" w:color="auto" w:fill="FFFFFF"/>
        </w:rPr>
        <w:t>оказывает умеренное мочегонное и ранозаживляющее действие, способствует выведению токсинов из организма через почки. Она нормализует водно-солевой обмен, а потому может применяться при отеках, солевом диатезе, хронических заболеваниях мочевыделительной системы. Также гортензия древовидная способствует выведению из организма мочевой кислоты, а потому препятствует отложению кристаллов в мочевыводящих путях и суставах. Оказывает противомикробное действие.</w:t>
      </w:r>
    </w:p>
    <w:p w:rsidR="003955A4" w:rsidRPr="00D8627C" w:rsidRDefault="00F64A62">
      <w:pPr>
        <w:spacing w:after="115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Область применения: </w:t>
      </w:r>
      <w:r w:rsidRPr="00D8627C">
        <w:rPr>
          <w:sz w:val="16"/>
          <w:szCs w:val="16"/>
        </w:rPr>
        <w:t xml:space="preserve">в качестве биологически </w:t>
      </w:r>
      <w:r w:rsidR="00D8627C" w:rsidRPr="00D8627C">
        <w:rPr>
          <w:sz w:val="16"/>
          <w:szCs w:val="16"/>
        </w:rPr>
        <w:t>активной добавки к пище – дополнительного источника</w:t>
      </w:r>
      <w:r w:rsidRPr="00D8627C">
        <w:rPr>
          <w:sz w:val="16"/>
          <w:szCs w:val="16"/>
        </w:rPr>
        <w:t xml:space="preserve"> </w:t>
      </w:r>
      <w:proofErr w:type="spellStart"/>
      <w:r w:rsidR="00D8627C">
        <w:rPr>
          <w:sz w:val="16"/>
          <w:szCs w:val="16"/>
        </w:rPr>
        <w:t>флавоноидов</w:t>
      </w:r>
      <w:proofErr w:type="spellEnd"/>
      <w:r w:rsidR="00D8627C">
        <w:rPr>
          <w:sz w:val="16"/>
          <w:szCs w:val="16"/>
        </w:rPr>
        <w:t xml:space="preserve"> (в пересчете </w:t>
      </w:r>
      <w:proofErr w:type="gramStart"/>
      <w:r w:rsidR="00D8627C">
        <w:rPr>
          <w:sz w:val="16"/>
          <w:szCs w:val="16"/>
        </w:rPr>
        <w:t xml:space="preserve">на </w:t>
      </w:r>
      <w:bookmarkStart w:id="0" w:name="_GoBack"/>
      <w:bookmarkEnd w:id="0"/>
      <w:r w:rsidR="00D8627C" w:rsidRPr="00D8627C">
        <w:rPr>
          <w:sz w:val="16"/>
          <w:szCs w:val="16"/>
        </w:rPr>
        <w:t>рутин</w:t>
      </w:r>
      <w:proofErr w:type="gramEnd"/>
      <w:r w:rsidR="00D8627C" w:rsidRPr="00D8627C">
        <w:rPr>
          <w:sz w:val="16"/>
          <w:szCs w:val="16"/>
        </w:rPr>
        <w:t>).</w:t>
      </w:r>
    </w:p>
    <w:p w:rsidR="003955A4" w:rsidRPr="00D8627C" w:rsidRDefault="00F64A62">
      <w:pPr>
        <w:spacing w:after="11" w:line="259" w:lineRule="auto"/>
        <w:ind w:left="14"/>
        <w:jc w:val="left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Показания к применению: </w:t>
      </w:r>
    </w:p>
    <w:p w:rsidR="003955A4" w:rsidRPr="00D8627C" w:rsidRDefault="00F64A62">
      <w:pPr>
        <w:numPr>
          <w:ilvl w:val="0"/>
          <w:numId w:val="1"/>
        </w:numPr>
        <w:ind w:left="208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хронические воспалительные заболевания органов мочевыделения (хронический пиелонефрит, пиелит, цистит), простатит;  </w:t>
      </w:r>
    </w:p>
    <w:p w:rsidR="003955A4" w:rsidRPr="00D8627C" w:rsidRDefault="00F64A62">
      <w:pPr>
        <w:numPr>
          <w:ilvl w:val="0"/>
          <w:numId w:val="1"/>
        </w:numPr>
        <w:ind w:left="208" w:right="6" w:hanging="204"/>
        <w:rPr>
          <w:sz w:val="16"/>
          <w:szCs w:val="16"/>
        </w:rPr>
      </w:pPr>
      <w:proofErr w:type="spellStart"/>
      <w:r w:rsidRPr="00D8627C">
        <w:rPr>
          <w:sz w:val="16"/>
          <w:szCs w:val="16"/>
        </w:rPr>
        <w:t>желче</w:t>
      </w:r>
      <w:proofErr w:type="spellEnd"/>
      <w:r w:rsidRPr="00D8627C">
        <w:rPr>
          <w:sz w:val="16"/>
          <w:szCs w:val="16"/>
        </w:rPr>
        <w:t xml:space="preserve">- и мочекаменная болезнь;  </w:t>
      </w:r>
    </w:p>
    <w:p w:rsidR="003955A4" w:rsidRPr="00D8627C" w:rsidRDefault="00F64A62">
      <w:pPr>
        <w:numPr>
          <w:ilvl w:val="0"/>
          <w:numId w:val="1"/>
        </w:numPr>
        <w:ind w:left="208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после сеансов </w:t>
      </w:r>
      <w:proofErr w:type="spellStart"/>
      <w:r w:rsidRPr="00D8627C">
        <w:rPr>
          <w:sz w:val="16"/>
          <w:szCs w:val="16"/>
        </w:rPr>
        <w:t>литотрипсии</w:t>
      </w:r>
      <w:proofErr w:type="spellEnd"/>
      <w:r w:rsidRPr="00D8627C">
        <w:rPr>
          <w:sz w:val="16"/>
          <w:szCs w:val="16"/>
        </w:rPr>
        <w:t xml:space="preserve">;  </w:t>
      </w:r>
    </w:p>
    <w:p w:rsidR="003955A4" w:rsidRPr="00D8627C" w:rsidRDefault="00F64A62">
      <w:pPr>
        <w:numPr>
          <w:ilvl w:val="0"/>
          <w:numId w:val="1"/>
        </w:numPr>
        <w:ind w:left="208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дегенеративные заболевания суставов; остеохондроз, артрит;  </w:t>
      </w:r>
    </w:p>
    <w:p w:rsidR="003955A4" w:rsidRPr="00D8627C" w:rsidRDefault="00F64A62">
      <w:pPr>
        <w:numPr>
          <w:ilvl w:val="0"/>
          <w:numId w:val="1"/>
        </w:numPr>
        <w:ind w:left="208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солевой диатез;  </w:t>
      </w:r>
    </w:p>
    <w:p w:rsidR="003955A4" w:rsidRPr="00D8627C" w:rsidRDefault="00F64A62">
      <w:pPr>
        <w:numPr>
          <w:ilvl w:val="0"/>
          <w:numId w:val="1"/>
        </w:numPr>
        <w:spacing w:after="105"/>
        <w:ind w:left="208" w:right="6" w:hanging="204"/>
        <w:rPr>
          <w:sz w:val="16"/>
          <w:szCs w:val="16"/>
        </w:rPr>
      </w:pPr>
      <w:r w:rsidRPr="00D8627C">
        <w:rPr>
          <w:sz w:val="16"/>
          <w:szCs w:val="16"/>
        </w:rPr>
        <w:t xml:space="preserve">хронические воспалительные заболевания женской половой сферы. </w:t>
      </w:r>
    </w:p>
    <w:p w:rsidR="003955A4" w:rsidRPr="00D8627C" w:rsidRDefault="00F64A62">
      <w:pPr>
        <w:spacing w:after="137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lastRenderedPageBreak/>
        <w:t xml:space="preserve">Рекомендации по применению: </w:t>
      </w:r>
      <w:r w:rsidRPr="00D8627C">
        <w:rPr>
          <w:sz w:val="16"/>
          <w:szCs w:val="16"/>
        </w:rPr>
        <w:t xml:space="preserve">взрослым по 1 капсуле </w:t>
      </w:r>
      <w:r w:rsidR="00D8627C" w:rsidRPr="00D8627C">
        <w:rPr>
          <w:sz w:val="16"/>
          <w:szCs w:val="16"/>
        </w:rPr>
        <w:t>5</w:t>
      </w:r>
      <w:r w:rsidRPr="00D8627C">
        <w:rPr>
          <w:sz w:val="16"/>
          <w:szCs w:val="16"/>
        </w:rPr>
        <w:t xml:space="preserve"> раз в день во время еды. Продолжительность приема – 4 недели. </w:t>
      </w:r>
    </w:p>
    <w:p w:rsidR="003955A4" w:rsidRPr="00D8627C" w:rsidRDefault="00F64A62">
      <w:pPr>
        <w:spacing w:after="138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Противопоказания: </w:t>
      </w:r>
      <w:r w:rsidRPr="00D8627C">
        <w:rPr>
          <w:sz w:val="16"/>
          <w:szCs w:val="16"/>
        </w:rPr>
        <w:t xml:space="preserve">индивидуальная непереносимость компонентов продукта, беременность, кормление грудью. Перед </w:t>
      </w:r>
      <w:r w:rsidR="00D8627C" w:rsidRPr="00D8627C">
        <w:rPr>
          <w:sz w:val="16"/>
          <w:szCs w:val="16"/>
        </w:rPr>
        <w:t>применением рекомендуется</w:t>
      </w:r>
      <w:r w:rsidRPr="00D8627C">
        <w:rPr>
          <w:sz w:val="16"/>
          <w:szCs w:val="16"/>
        </w:rPr>
        <w:t xml:space="preserve"> проконсультироваться с врачом. </w:t>
      </w:r>
    </w:p>
    <w:p w:rsidR="003955A4" w:rsidRPr="00D8627C" w:rsidRDefault="00F64A62">
      <w:pPr>
        <w:spacing w:after="132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Форма выпуска: </w:t>
      </w:r>
      <w:r w:rsidRPr="00D8627C">
        <w:rPr>
          <w:sz w:val="16"/>
          <w:szCs w:val="16"/>
        </w:rPr>
        <w:t xml:space="preserve">капсулы массой 490 мг, 60 капсул в пластиковой банке. </w:t>
      </w:r>
    </w:p>
    <w:p w:rsidR="003955A4" w:rsidRPr="00D8627C" w:rsidRDefault="00F64A62">
      <w:pPr>
        <w:spacing w:after="94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 xml:space="preserve">Условия хранения: </w:t>
      </w:r>
      <w:r w:rsidR="00D8627C" w:rsidRPr="00D8627C">
        <w:rPr>
          <w:sz w:val="16"/>
          <w:szCs w:val="16"/>
        </w:rPr>
        <w:t>Хранить в сухом, защищенном от света месте, при температуре воздуха не выше 25 0С и относительной влажности воздуха не менее 75 %.</w:t>
      </w:r>
    </w:p>
    <w:p w:rsidR="003955A4" w:rsidRPr="00D8627C" w:rsidRDefault="00F64A62">
      <w:pPr>
        <w:spacing w:after="136"/>
        <w:ind w:left="14" w:right="6"/>
        <w:rPr>
          <w:sz w:val="16"/>
          <w:szCs w:val="16"/>
        </w:rPr>
      </w:pPr>
      <w:r w:rsidRPr="00D8627C">
        <w:rPr>
          <w:b/>
          <w:sz w:val="16"/>
          <w:szCs w:val="16"/>
        </w:rPr>
        <w:t>Срок годности</w:t>
      </w:r>
      <w:r w:rsidRPr="00D8627C">
        <w:rPr>
          <w:sz w:val="16"/>
          <w:szCs w:val="16"/>
        </w:rPr>
        <w:t xml:space="preserve"> – 3 года. </w:t>
      </w:r>
    </w:p>
    <w:p w:rsidR="00D8627C" w:rsidRPr="00D8627C" w:rsidRDefault="00D8627C" w:rsidP="00D8627C">
      <w:pPr>
        <w:spacing w:after="0"/>
        <w:ind w:left="-5"/>
        <w:rPr>
          <w:sz w:val="16"/>
          <w:szCs w:val="16"/>
        </w:rPr>
      </w:pPr>
      <w:r w:rsidRPr="00D8627C">
        <w:rPr>
          <w:b/>
          <w:color w:val="262626"/>
          <w:sz w:val="16"/>
          <w:szCs w:val="16"/>
        </w:rPr>
        <w:t>Изготовитель</w:t>
      </w:r>
      <w:r w:rsidRPr="00D8627C">
        <w:rPr>
          <w:b/>
          <w:color w:val="262626"/>
          <w:sz w:val="16"/>
          <w:szCs w:val="16"/>
          <w:lang w:val="en-US"/>
        </w:rPr>
        <w:t>:</w:t>
      </w:r>
      <w:r w:rsidRPr="00D8627C">
        <w:rPr>
          <w:color w:val="262626"/>
          <w:sz w:val="16"/>
          <w:szCs w:val="16"/>
          <w:lang w:val="en-US"/>
        </w:rPr>
        <w:t xml:space="preserve"> «NUTRICARE INTERNATIONAL, INC.», </w:t>
      </w:r>
      <w:r w:rsidRPr="00D8627C">
        <w:rPr>
          <w:sz w:val="16"/>
          <w:szCs w:val="16"/>
          <w:lang w:val="en-US"/>
        </w:rPr>
        <w:t>311 N. Robertson Blvd. Suite</w:t>
      </w:r>
      <w:r w:rsidRPr="00D8627C">
        <w:rPr>
          <w:sz w:val="16"/>
          <w:szCs w:val="16"/>
        </w:rPr>
        <w:t xml:space="preserve"> 302, </w:t>
      </w:r>
      <w:r w:rsidRPr="00D8627C">
        <w:rPr>
          <w:sz w:val="16"/>
          <w:szCs w:val="16"/>
          <w:lang w:val="en-US"/>
        </w:rPr>
        <w:t>Beverly</w:t>
      </w:r>
      <w:r w:rsidRPr="00D8627C">
        <w:rPr>
          <w:sz w:val="16"/>
          <w:szCs w:val="16"/>
        </w:rPr>
        <w:t xml:space="preserve"> </w:t>
      </w:r>
      <w:r w:rsidRPr="00D8627C">
        <w:rPr>
          <w:sz w:val="16"/>
          <w:szCs w:val="16"/>
          <w:lang w:val="en-US"/>
        </w:rPr>
        <w:t>Hills</w:t>
      </w:r>
      <w:r w:rsidRPr="00D8627C">
        <w:rPr>
          <w:sz w:val="16"/>
          <w:szCs w:val="16"/>
        </w:rPr>
        <w:t xml:space="preserve">, </w:t>
      </w:r>
      <w:r w:rsidRPr="00D8627C">
        <w:rPr>
          <w:sz w:val="16"/>
          <w:szCs w:val="16"/>
          <w:lang w:val="en-US"/>
        </w:rPr>
        <w:t>California</w:t>
      </w:r>
      <w:r w:rsidRPr="00D8627C">
        <w:rPr>
          <w:sz w:val="16"/>
          <w:szCs w:val="16"/>
        </w:rPr>
        <w:t xml:space="preserve"> 90211 </w:t>
      </w:r>
      <w:r w:rsidRPr="00D8627C">
        <w:rPr>
          <w:sz w:val="16"/>
          <w:szCs w:val="16"/>
          <w:lang w:val="en-US"/>
        </w:rPr>
        <w:t>USA</w:t>
      </w:r>
      <w:r w:rsidRPr="00D8627C">
        <w:rPr>
          <w:sz w:val="16"/>
          <w:szCs w:val="16"/>
        </w:rPr>
        <w:t xml:space="preserve"> </w:t>
      </w:r>
    </w:p>
    <w:p w:rsidR="00D8627C" w:rsidRPr="00D8627C" w:rsidRDefault="00D8627C" w:rsidP="00D8627C">
      <w:pPr>
        <w:spacing w:after="0"/>
        <w:ind w:left="-5"/>
        <w:rPr>
          <w:sz w:val="16"/>
          <w:szCs w:val="16"/>
        </w:rPr>
      </w:pPr>
    </w:p>
    <w:p w:rsidR="00D8627C" w:rsidRPr="00D8627C" w:rsidRDefault="00D8627C" w:rsidP="00D8627C">
      <w:pPr>
        <w:spacing w:after="0"/>
        <w:ind w:left="-5" w:right="89"/>
        <w:rPr>
          <w:sz w:val="16"/>
          <w:szCs w:val="16"/>
        </w:rPr>
      </w:pPr>
      <w:r w:rsidRPr="00D8627C">
        <w:rPr>
          <w:b/>
          <w:sz w:val="16"/>
          <w:szCs w:val="16"/>
        </w:rPr>
        <w:t>Свидетельство о государственной регистрации</w:t>
      </w:r>
      <w:r w:rsidRPr="00D8627C">
        <w:rPr>
          <w:sz w:val="16"/>
          <w:szCs w:val="16"/>
        </w:rPr>
        <w:t xml:space="preserve"> № </w:t>
      </w:r>
      <w:r w:rsidRPr="00D8627C">
        <w:rPr>
          <w:sz w:val="16"/>
          <w:szCs w:val="16"/>
          <w:lang w:val="en-US"/>
        </w:rPr>
        <w:t>BY</w:t>
      </w:r>
      <w:r w:rsidRPr="00D8627C">
        <w:rPr>
          <w:sz w:val="16"/>
          <w:szCs w:val="16"/>
        </w:rPr>
        <w:t>.70.06.01.003.</w:t>
      </w:r>
      <w:r w:rsidRPr="00D8627C">
        <w:rPr>
          <w:sz w:val="16"/>
          <w:szCs w:val="16"/>
          <w:lang w:val="en-US"/>
        </w:rPr>
        <w:t>E</w:t>
      </w:r>
      <w:r w:rsidRPr="00D8627C">
        <w:rPr>
          <w:sz w:val="16"/>
          <w:szCs w:val="16"/>
        </w:rPr>
        <w:t>.00</w:t>
      </w:r>
      <w:r w:rsidRPr="00D8627C">
        <w:rPr>
          <w:sz w:val="16"/>
          <w:szCs w:val="16"/>
        </w:rPr>
        <w:t>1581</w:t>
      </w:r>
      <w:r w:rsidRPr="00D8627C">
        <w:rPr>
          <w:sz w:val="16"/>
          <w:szCs w:val="16"/>
        </w:rPr>
        <w:t>.05.16 от 04.05.2016 г.</w:t>
      </w:r>
    </w:p>
    <w:p w:rsidR="003955A4" w:rsidRDefault="003955A4" w:rsidP="00D8627C">
      <w:pPr>
        <w:spacing w:after="116"/>
        <w:ind w:left="14" w:right="6"/>
      </w:pPr>
    </w:p>
    <w:sectPr w:rsidR="003955A4" w:rsidSect="00D8627C">
      <w:pgSz w:w="5614" w:h="11906"/>
      <w:pgMar w:top="238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1D3"/>
    <w:multiLevelType w:val="hybridMultilevel"/>
    <w:tmpl w:val="95BA7FE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7DD47616"/>
    <w:multiLevelType w:val="hybridMultilevel"/>
    <w:tmpl w:val="F2DA377E"/>
    <w:lvl w:ilvl="0" w:tplc="2C58AD54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C94AF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EECF3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794D9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05C8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9A835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77AD9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2FA7E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600EA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A4"/>
    <w:rsid w:val="003955A4"/>
    <w:rsid w:val="00D8627C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C407-AD04-4822-88CF-1236D11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9" w:lineRule="auto"/>
      <w:ind w:left="30" w:hanging="10"/>
      <w:jc w:val="both"/>
    </w:pPr>
    <w:rPr>
      <w:rFonts w:ascii="Arial" w:eastAsia="Arial" w:hAnsi="Arial" w:cs="Arial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Eghle</dc:creator>
  <cp:keywords/>
  <cp:lastModifiedBy>Марина</cp:lastModifiedBy>
  <cp:revision>3</cp:revision>
  <dcterms:created xsi:type="dcterms:W3CDTF">2016-03-21T13:33:00Z</dcterms:created>
  <dcterms:modified xsi:type="dcterms:W3CDTF">2016-05-06T12:51:00Z</dcterms:modified>
</cp:coreProperties>
</file>